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D86CC4" w:rsidP="00D86CC4">
      <w:pPr>
        <w:spacing w:after="0"/>
        <w:rPr>
          <w:rFonts w:ascii="Arial Black" w:hAnsi="Arial Black"/>
        </w:rPr>
      </w:pPr>
      <w:r>
        <w:rPr>
          <w:rFonts w:ascii="Arial Black" w:hAnsi="Arial Black"/>
        </w:rPr>
        <w:t>RANSOM COUNTY BOARD OF COMMISSIONERS</w:t>
      </w:r>
    </w:p>
    <w:p w:rsidR="00D86CC4" w:rsidRDefault="00D86CC4" w:rsidP="00D86CC4">
      <w:pPr>
        <w:spacing w:after="0"/>
        <w:rPr>
          <w:rFonts w:ascii="Arial" w:hAnsi="Arial" w:cs="Arial"/>
        </w:rPr>
      </w:pPr>
      <w:r>
        <w:rPr>
          <w:rFonts w:ascii="Arial" w:hAnsi="Arial" w:cs="Arial"/>
        </w:rPr>
        <w:t>Regular Meeting – September 3, 2019</w:t>
      </w:r>
    </w:p>
    <w:p w:rsidR="00D86CC4" w:rsidRDefault="00D86CC4" w:rsidP="00D86CC4">
      <w:pPr>
        <w:spacing w:after="0"/>
        <w:rPr>
          <w:rFonts w:ascii="Arial" w:hAnsi="Arial" w:cs="Arial"/>
        </w:rPr>
      </w:pPr>
    </w:p>
    <w:p w:rsidR="00D86CC4" w:rsidRDefault="00D86CC4" w:rsidP="00D86CC4">
      <w:pPr>
        <w:spacing w:after="0"/>
        <w:rPr>
          <w:rFonts w:ascii="Arial" w:hAnsi="Arial" w:cs="Arial"/>
        </w:rPr>
      </w:pPr>
      <w:r>
        <w:rPr>
          <w:rFonts w:ascii="Arial" w:hAnsi="Arial" w:cs="Arial"/>
        </w:rPr>
        <w:t xml:space="preserve">The meeting was called to order at 9:00 a.m. by Chairman Steve Dick. </w:t>
      </w:r>
      <w:r w:rsidR="00273E68">
        <w:rPr>
          <w:rFonts w:ascii="Arial" w:hAnsi="Arial" w:cs="Arial"/>
        </w:rPr>
        <w:t>The Pledge of Allegiance was recited. Members present were Steve Dick, Norm Hansen, Connie Gilbert, and Neil Olerud. George Bunn was absent.</w:t>
      </w:r>
    </w:p>
    <w:p w:rsidR="00273E68" w:rsidRDefault="00273E68" w:rsidP="00D86CC4">
      <w:pPr>
        <w:spacing w:after="0"/>
        <w:rPr>
          <w:rFonts w:ascii="Arial" w:hAnsi="Arial" w:cs="Arial"/>
        </w:rPr>
      </w:pPr>
    </w:p>
    <w:p w:rsidR="00273E68" w:rsidRDefault="00273E68" w:rsidP="00D86CC4">
      <w:pPr>
        <w:spacing w:after="0"/>
        <w:rPr>
          <w:rFonts w:ascii="Arial" w:hAnsi="Arial" w:cs="Arial"/>
        </w:rPr>
      </w:pPr>
      <w:r>
        <w:rPr>
          <w:rFonts w:ascii="Arial" w:hAnsi="Arial" w:cs="Arial"/>
        </w:rPr>
        <w:t xml:space="preserve">The agenda was reviewed. </w:t>
      </w:r>
      <w:r w:rsidR="006E158A">
        <w:rPr>
          <w:rFonts w:ascii="Arial" w:hAnsi="Arial" w:cs="Arial"/>
        </w:rPr>
        <w:t>Hansen moved, to approve the agenda. Seconded by Olerud. All aye. Motion carried.</w:t>
      </w:r>
    </w:p>
    <w:p w:rsidR="006E158A" w:rsidRDefault="006E158A" w:rsidP="00D86CC4">
      <w:pPr>
        <w:spacing w:after="0"/>
        <w:rPr>
          <w:rFonts w:ascii="Arial" w:hAnsi="Arial" w:cs="Arial"/>
        </w:rPr>
      </w:pPr>
    </w:p>
    <w:p w:rsidR="006E158A" w:rsidRDefault="006E158A" w:rsidP="00D86CC4">
      <w:pPr>
        <w:spacing w:after="0"/>
        <w:rPr>
          <w:rFonts w:ascii="Arial" w:hAnsi="Arial" w:cs="Arial"/>
        </w:rPr>
      </w:pPr>
      <w:r>
        <w:rPr>
          <w:rFonts w:ascii="Arial" w:hAnsi="Arial" w:cs="Arial"/>
        </w:rPr>
        <w:t xml:space="preserve">The minutes from the August 20, 2019 regular commission meeting were considered. Gilbert moved, seconded by Olerud to approve minutes with corrections. All aye. Motion carried. </w:t>
      </w:r>
    </w:p>
    <w:p w:rsidR="004E1F31" w:rsidRDefault="004E1F31" w:rsidP="00D86CC4">
      <w:pPr>
        <w:spacing w:after="0"/>
        <w:rPr>
          <w:rFonts w:ascii="Arial" w:hAnsi="Arial" w:cs="Arial"/>
        </w:rPr>
      </w:pPr>
    </w:p>
    <w:p w:rsidR="004E1F31" w:rsidRDefault="004E1F31" w:rsidP="00D86CC4">
      <w:pPr>
        <w:spacing w:after="0"/>
        <w:rPr>
          <w:rFonts w:ascii="Arial" w:hAnsi="Arial" w:cs="Arial"/>
        </w:rPr>
      </w:pPr>
      <w:r>
        <w:rPr>
          <w:rFonts w:ascii="Arial" w:hAnsi="Arial" w:cs="Arial"/>
        </w:rPr>
        <w:t>Manual warrants in the amount of $</w:t>
      </w:r>
      <w:r w:rsidR="004F507C">
        <w:rPr>
          <w:rFonts w:ascii="Arial" w:hAnsi="Arial" w:cs="Arial"/>
        </w:rPr>
        <w:t>2753.61</w:t>
      </w:r>
      <w:r>
        <w:rPr>
          <w:rFonts w:ascii="Arial" w:hAnsi="Arial" w:cs="Arial"/>
        </w:rPr>
        <w:t xml:space="preserve"> were reviewed by the </w:t>
      </w:r>
      <w:r w:rsidR="004F507C">
        <w:rPr>
          <w:rFonts w:ascii="Arial" w:hAnsi="Arial" w:cs="Arial"/>
        </w:rPr>
        <w:t>board. Hansen moved, to approve</w:t>
      </w:r>
      <w:r>
        <w:rPr>
          <w:rFonts w:ascii="Arial" w:hAnsi="Arial" w:cs="Arial"/>
        </w:rPr>
        <w:t xml:space="preserve"> manual warrants</w:t>
      </w:r>
      <w:r w:rsidR="004F507C">
        <w:rPr>
          <w:rFonts w:ascii="Arial" w:hAnsi="Arial" w:cs="Arial"/>
        </w:rPr>
        <w:t>. Seconded by Olerud.</w:t>
      </w:r>
    </w:p>
    <w:p w:rsidR="004F507C" w:rsidRDefault="004F507C" w:rsidP="00D86CC4">
      <w:pPr>
        <w:spacing w:after="0"/>
        <w:rPr>
          <w:rFonts w:ascii="Arial" w:hAnsi="Arial" w:cs="Arial"/>
        </w:rPr>
      </w:pPr>
    </w:p>
    <w:tbl>
      <w:tblPr>
        <w:tblStyle w:val="TableGrid"/>
        <w:tblW w:w="0" w:type="auto"/>
        <w:jc w:val="center"/>
        <w:tblInd w:w="0" w:type="dxa"/>
        <w:tblLook w:val="04A0" w:firstRow="1" w:lastRow="0" w:firstColumn="1" w:lastColumn="0" w:noHBand="0" w:noVBand="1"/>
      </w:tblPr>
      <w:tblGrid>
        <w:gridCol w:w="2245"/>
        <w:gridCol w:w="2233"/>
        <w:gridCol w:w="3437"/>
        <w:gridCol w:w="1101"/>
      </w:tblGrid>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7/22/19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65</w:t>
            </w:r>
          </w:p>
        </w:tc>
        <w:tc>
          <w:tcPr>
            <w:tcW w:w="3437" w:type="dxa"/>
            <w:tcBorders>
              <w:top w:val="single" w:sz="4" w:space="0" w:color="auto"/>
              <w:left w:val="single" w:sz="4" w:space="0" w:color="auto"/>
              <w:bottom w:val="single" w:sz="4" w:space="0" w:color="auto"/>
              <w:right w:val="single" w:sz="4" w:space="0" w:color="auto"/>
            </w:tcBorders>
            <w:vAlign w:val="center"/>
            <w:hideMark/>
          </w:tcPr>
          <w:p w:rsidR="004F507C" w:rsidRDefault="004F507C">
            <w:r>
              <w:t>CASS COUNTY ELECTRIC COOP</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$12.81</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7/22/19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66</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CASS COUNTY ELECTRIC COOP, INC</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$380.04</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8/05/19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62</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GREAT AMERICA FINANCIAL</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$384.20</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8/05/19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74</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GREAT AMERICA FINANCIAL</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$297.00</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7/24/19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68</w:t>
            </w:r>
          </w:p>
        </w:tc>
        <w:tc>
          <w:tcPr>
            <w:tcW w:w="3437" w:type="dxa"/>
            <w:tcBorders>
              <w:top w:val="single" w:sz="4" w:space="0" w:color="auto"/>
              <w:left w:val="single" w:sz="4" w:space="0" w:color="auto"/>
              <w:bottom w:val="single" w:sz="4" w:space="0" w:color="auto"/>
              <w:right w:val="single" w:sz="4" w:space="0" w:color="auto"/>
            </w:tcBorders>
            <w:vAlign w:val="center"/>
            <w:hideMark/>
          </w:tcPr>
          <w:p w:rsidR="004F507C" w:rsidRDefault="004F507C">
            <w:r>
              <w:t>CITY OF LISBON</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$71.18</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7/24/19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69</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CITY OF LISBON</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$165.89</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7/24/19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70</w:t>
            </w:r>
          </w:p>
        </w:tc>
        <w:tc>
          <w:tcPr>
            <w:tcW w:w="3437" w:type="dxa"/>
            <w:tcBorders>
              <w:top w:val="single" w:sz="4" w:space="0" w:color="auto"/>
              <w:left w:val="single" w:sz="4" w:space="0" w:color="auto"/>
              <w:bottom w:val="single" w:sz="4" w:space="0" w:color="auto"/>
              <w:right w:val="single" w:sz="4" w:space="0" w:color="auto"/>
            </w:tcBorders>
            <w:vAlign w:val="center"/>
            <w:hideMark/>
          </w:tcPr>
          <w:p w:rsidR="004F507C" w:rsidRDefault="004F507C">
            <w:r>
              <w:t>CITY OF LISBON</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$148.57</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7/24/19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71</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CITY OF LISBON</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$29.50</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7/24/19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72</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 xml:space="preserve">CITY OF LISBON </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$10.00</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7/24/19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61</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MARCO</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$104.75</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8/08/19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64</w:t>
            </w:r>
          </w:p>
        </w:tc>
        <w:tc>
          <w:tcPr>
            <w:tcW w:w="3437" w:type="dxa"/>
            <w:tcBorders>
              <w:top w:val="single" w:sz="4" w:space="0" w:color="auto"/>
              <w:left w:val="single" w:sz="4" w:space="0" w:color="auto"/>
              <w:bottom w:val="nil"/>
              <w:right w:val="single" w:sz="4" w:space="0" w:color="auto"/>
            </w:tcBorders>
            <w:hideMark/>
          </w:tcPr>
          <w:p w:rsidR="004F507C" w:rsidRDefault="004F507C">
            <w:r>
              <w:t>MARCO</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$218.64</w:t>
            </w:r>
          </w:p>
        </w:tc>
      </w:tr>
      <w:tr w:rsidR="004F507C" w:rsidTr="004F507C">
        <w:trPr>
          <w:trHeight w:val="170"/>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8/19/19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73</w:t>
            </w:r>
          </w:p>
        </w:tc>
        <w:tc>
          <w:tcPr>
            <w:tcW w:w="3437" w:type="dxa"/>
            <w:tcBorders>
              <w:top w:val="nil"/>
              <w:left w:val="single" w:sz="4" w:space="0" w:color="auto"/>
              <w:bottom w:val="single" w:sz="4" w:space="0" w:color="auto"/>
              <w:right w:val="single" w:sz="4" w:space="0" w:color="auto"/>
            </w:tcBorders>
            <w:hideMark/>
          </w:tcPr>
          <w:p w:rsidR="004F507C" w:rsidRDefault="004F507C">
            <w:r>
              <w:t>MARCO</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$135.00</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8/02/19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67</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ND GAME &amp; FISH</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$58.00</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7/25/19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60</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SOUTHEAST WATER USERS</w:t>
            </w:r>
          </w:p>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$48.97</w:t>
            </w:r>
          </w:p>
        </w:tc>
      </w:tr>
      <w:tr w:rsidR="004F507C" w:rsidTr="004F507C">
        <w:trPr>
          <w:trHeight w:val="503"/>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8/05/19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63</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 xml:space="preserve">TESORO FLEET SERVICES </w:t>
            </w:r>
          </w:p>
        </w:tc>
        <w:tc>
          <w:tcPr>
            <w:tcW w:w="1101" w:type="dxa"/>
            <w:tcBorders>
              <w:top w:val="single" w:sz="4" w:space="0" w:color="auto"/>
              <w:left w:val="single" w:sz="4" w:space="0" w:color="auto"/>
              <w:bottom w:val="single" w:sz="4" w:space="0" w:color="auto"/>
              <w:right w:val="single" w:sz="4" w:space="0" w:color="auto"/>
            </w:tcBorders>
          </w:tcPr>
          <w:p w:rsidR="004F507C" w:rsidRDefault="004F507C"/>
          <w:p w:rsidR="004F507C" w:rsidRDefault="004F507C"/>
          <w:p w:rsidR="004F507C" w:rsidRDefault="004F507C">
            <w:r>
              <w:t>$593.21</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8/12/19</w:t>
            </w:r>
          </w:p>
        </w:tc>
        <w:tc>
          <w:tcPr>
            <w:tcW w:w="2233" w:type="dxa"/>
            <w:tcBorders>
              <w:top w:val="single" w:sz="4" w:space="0" w:color="auto"/>
              <w:left w:val="single" w:sz="4" w:space="0" w:color="auto"/>
              <w:bottom w:val="single" w:sz="4" w:space="0" w:color="auto"/>
              <w:right w:val="single" w:sz="4" w:space="0" w:color="auto"/>
            </w:tcBorders>
            <w:hideMark/>
          </w:tcPr>
          <w:p w:rsidR="004F507C" w:rsidRDefault="004F507C">
            <w:r>
              <w:t>ACH 75</w:t>
            </w:r>
          </w:p>
        </w:tc>
        <w:tc>
          <w:tcPr>
            <w:tcW w:w="3437" w:type="dxa"/>
            <w:tcBorders>
              <w:top w:val="single" w:sz="4" w:space="0" w:color="auto"/>
              <w:left w:val="single" w:sz="4" w:space="0" w:color="auto"/>
              <w:bottom w:val="single" w:sz="4" w:space="0" w:color="auto"/>
              <w:right w:val="single" w:sz="4" w:space="0" w:color="auto"/>
            </w:tcBorders>
            <w:hideMark/>
          </w:tcPr>
          <w:p w:rsidR="004F507C" w:rsidRDefault="004F507C">
            <w:r>
              <w:t>TASC</w:t>
            </w:r>
          </w:p>
        </w:tc>
        <w:tc>
          <w:tcPr>
            <w:tcW w:w="1101" w:type="dxa"/>
            <w:tcBorders>
              <w:top w:val="single" w:sz="4" w:space="0" w:color="auto"/>
              <w:left w:val="single" w:sz="4" w:space="0" w:color="auto"/>
              <w:bottom w:val="single" w:sz="4" w:space="0" w:color="auto"/>
              <w:right w:val="single" w:sz="4" w:space="0" w:color="auto"/>
            </w:tcBorders>
          </w:tcPr>
          <w:p w:rsidR="004F507C" w:rsidRDefault="004F507C"/>
          <w:p w:rsidR="004F507C" w:rsidRDefault="004F507C">
            <w:r>
              <w:t>$95.85</w:t>
            </w:r>
          </w:p>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 xml:space="preserve">Total </w:t>
            </w:r>
          </w:p>
        </w:tc>
        <w:tc>
          <w:tcPr>
            <w:tcW w:w="2233" w:type="dxa"/>
            <w:tcBorders>
              <w:top w:val="single" w:sz="4" w:space="0" w:color="auto"/>
              <w:left w:val="single" w:sz="4" w:space="0" w:color="auto"/>
              <w:bottom w:val="single" w:sz="4" w:space="0" w:color="auto"/>
              <w:right w:val="single" w:sz="4" w:space="0" w:color="auto"/>
            </w:tcBorders>
          </w:tcPr>
          <w:p w:rsidR="004F507C" w:rsidRDefault="004F507C"/>
        </w:tc>
        <w:tc>
          <w:tcPr>
            <w:tcW w:w="3437" w:type="dxa"/>
            <w:tcBorders>
              <w:top w:val="single" w:sz="4" w:space="0" w:color="auto"/>
              <w:left w:val="single" w:sz="4" w:space="0" w:color="auto"/>
              <w:bottom w:val="single" w:sz="4" w:space="0" w:color="auto"/>
              <w:right w:val="single" w:sz="4" w:space="0" w:color="auto"/>
            </w:tcBorders>
          </w:tcPr>
          <w:p w:rsidR="004F507C" w:rsidRDefault="004F507C"/>
        </w:tc>
        <w:tc>
          <w:tcPr>
            <w:tcW w:w="1101" w:type="dxa"/>
            <w:tcBorders>
              <w:top w:val="single" w:sz="4" w:space="0" w:color="auto"/>
              <w:left w:val="single" w:sz="4" w:space="0" w:color="auto"/>
              <w:bottom w:val="single" w:sz="4" w:space="0" w:color="auto"/>
              <w:right w:val="single" w:sz="4" w:space="0" w:color="auto"/>
            </w:tcBorders>
          </w:tcPr>
          <w:p w:rsidR="004F507C" w:rsidRDefault="004F507C"/>
        </w:tc>
      </w:tr>
      <w:tr w:rsidR="004F507C" w:rsidTr="004F507C">
        <w:trPr>
          <w:jc w:val="center"/>
        </w:trPr>
        <w:tc>
          <w:tcPr>
            <w:tcW w:w="2245" w:type="dxa"/>
            <w:tcBorders>
              <w:top w:val="single" w:sz="4" w:space="0" w:color="auto"/>
              <w:left w:val="single" w:sz="4" w:space="0" w:color="auto"/>
              <w:bottom w:val="single" w:sz="4" w:space="0" w:color="auto"/>
              <w:right w:val="single" w:sz="4" w:space="0" w:color="auto"/>
            </w:tcBorders>
            <w:hideMark/>
          </w:tcPr>
          <w:p w:rsidR="004F507C" w:rsidRDefault="004F507C">
            <w:r>
              <w:t>TOTAL</w:t>
            </w:r>
          </w:p>
        </w:tc>
        <w:tc>
          <w:tcPr>
            <w:tcW w:w="2233" w:type="dxa"/>
            <w:tcBorders>
              <w:top w:val="single" w:sz="4" w:space="0" w:color="auto"/>
              <w:left w:val="single" w:sz="4" w:space="0" w:color="auto"/>
              <w:bottom w:val="single" w:sz="4" w:space="0" w:color="auto"/>
              <w:right w:val="single" w:sz="4" w:space="0" w:color="auto"/>
            </w:tcBorders>
          </w:tcPr>
          <w:p w:rsidR="004F507C" w:rsidRDefault="004F507C"/>
        </w:tc>
        <w:tc>
          <w:tcPr>
            <w:tcW w:w="3437" w:type="dxa"/>
            <w:tcBorders>
              <w:top w:val="single" w:sz="4" w:space="0" w:color="auto"/>
              <w:left w:val="single" w:sz="4" w:space="0" w:color="auto"/>
              <w:bottom w:val="single" w:sz="4" w:space="0" w:color="auto"/>
              <w:right w:val="single" w:sz="4" w:space="0" w:color="auto"/>
            </w:tcBorders>
          </w:tcPr>
          <w:p w:rsidR="004F507C" w:rsidRDefault="004F507C"/>
        </w:tc>
        <w:tc>
          <w:tcPr>
            <w:tcW w:w="1101" w:type="dxa"/>
            <w:tcBorders>
              <w:top w:val="single" w:sz="4" w:space="0" w:color="auto"/>
              <w:left w:val="single" w:sz="4" w:space="0" w:color="auto"/>
              <w:bottom w:val="single" w:sz="4" w:space="0" w:color="auto"/>
              <w:right w:val="single" w:sz="4" w:space="0" w:color="auto"/>
            </w:tcBorders>
            <w:hideMark/>
          </w:tcPr>
          <w:p w:rsidR="004F507C" w:rsidRDefault="004F507C">
            <w:r>
              <w:t>$2753.61</w:t>
            </w:r>
          </w:p>
        </w:tc>
      </w:tr>
    </w:tbl>
    <w:p w:rsidR="004F507C" w:rsidRDefault="004F507C" w:rsidP="00D86CC4">
      <w:pPr>
        <w:spacing w:after="0"/>
        <w:rPr>
          <w:rFonts w:ascii="Arial" w:hAnsi="Arial" w:cs="Arial"/>
        </w:rPr>
      </w:pPr>
    </w:p>
    <w:p w:rsidR="004F507C" w:rsidRDefault="004F507C" w:rsidP="00D86CC4">
      <w:pPr>
        <w:spacing w:after="0"/>
        <w:rPr>
          <w:rFonts w:ascii="Arial" w:hAnsi="Arial" w:cs="Arial"/>
        </w:rPr>
      </w:pPr>
      <w:r>
        <w:rPr>
          <w:rFonts w:ascii="Arial" w:hAnsi="Arial" w:cs="Arial"/>
        </w:rPr>
        <w:t xml:space="preserve">Minutes from the social service meeting held in Milnor, ND on August 6, 2019 were reviewed. </w:t>
      </w:r>
      <w:r w:rsidR="004C63B1">
        <w:rPr>
          <w:rFonts w:ascii="Arial" w:hAnsi="Arial" w:cs="Arial"/>
        </w:rPr>
        <w:t xml:space="preserve">Hansen moved, seconded by Gilbert to approve the social service minutes with contingency of Richland and Sargent Counties approval. </w:t>
      </w:r>
    </w:p>
    <w:p w:rsidR="004C63B1" w:rsidRDefault="004C63B1" w:rsidP="00D86CC4">
      <w:pPr>
        <w:spacing w:after="0"/>
        <w:rPr>
          <w:rFonts w:ascii="Arial" w:hAnsi="Arial" w:cs="Arial"/>
        </w:rPr>
      </w:pPr>
    </w:p>
    <w:p w:rsidR="004C63B1" w:rsidRPr="002521CC" w:rsidRDefault="004C63B1" w:rsidP="00D86CC4">
      <w:pPr>
        <w:spacing w:after="0"/>
        <w:rPr>
          <w:rFonts w:ascii="Arial" w:hAnsi="Arial" w:cs="Arial"/>
        </w:rPr>
      </w:pPr>
      <w:r w:rsidRPr="002521CC">
        <w:rPr>
          <w:rFonts w:ascii="Arial" w:hAnsi="Arial" w:cs="Arial"/>
        </w:rPr>
        <w:t>A utility permit along with the appropriate fee was submitted by Cass County Electric</w:t>
      </w:r>
    </w:p>
    <w:tbl>
      <w:tblPr>
        <w:tblStyle w:val="TableGrid"/>
        <w:tblW w:w="0" w:type="auto"/>
        <w:tblInd w:w="0" w:type="dxa"/>
        <w:tblLook w:val="04A0" w:firstRow="1" w:lastRow="0" w:firstColumn="1" w:lastColumn="0" w:noHBand="0" w:noVBand="1"/>
      </w:tblPr>
      <w:tblGrid>
        <w:gridCol w:w="3116"/>
        <w:gridCol w:w="3117"/>
        <w:gridCol w:w="3117"/>
      </w:tblGrid>
      <w:tr w:rsidR="002521CC" w:rsidRPr="002521CC" w:rsidTr="002521CC">
        <w:tc>
          <w:tcPr>
            <w:tcW w:w="3116" w:type="dxa"/>
          </w:tcPr>
          <w:p w:rsidR="002521CC" w:rsidRPr="002521CC" w:rsidRDefault="00927F27" w:rsidP="00D86CC4">
            <w:pPr>
              <w:rPr>
                <w:rFonts w:ascii="Arial" w:hAnsi="Arial" w:cs="Arial"/>
              </w:rPr>
            </w:pPr>
            <w:r>
              <w:rPr>
                <w:rFonts w:ascii="Arial" w:hAnsi="Arial" w:cs="Arial"/>
              </w:rPr>
              <w:t>County Highway: 136</w:t>
            </w:r>
          </w:p>
        </w:tc>
        <w:tc>
          <w:tcPr>
            <w:tcW w:w="3117" w:type="dxa"/>
          </w:tcPr>
          <w:p w:rsidR="002521CC" w:rsidRPr="002521CC" w:rsidRDefault="00927F27" w:rsidP="00D86CC4">
            <w:pPr>
              <w:rPr>
                <w:rFonts w:ascii="Arial" w:hAnsi="Arial" w:cs="Arial"/>
              </w:rPr>
            </w:pPr>
            <w:r>
              <w:rPr>
                <w:rFonts w:ascii="Arial" w:hAnsi="Arial" w:cs="Arial"/>
              </w:rPr>
              <w:t>Township: Preston 136N, 57W</w:t>
            </w:r>
          </w:p>
        </w:tc>
        <w:tc>
          <w:tcPr>
            <w:tcW w:w="3117" w:type="dxa"/>
          </w:tcPr>
          <w:p w:rsidR="002521CC" w:rsidRPr="002521CC" w:rsidRDefault="00927F27" w:rsidP="00D86CC4">
            <w:pPr>
              <w:rPr>
                <w:rFonts w:ascii="Arial" w:hAnsi="Arial" w:cs="Arial"/>
              </w:rPr>
            </w:pPr>
            <w:r>
              <w:rPr>
                <w:rFonts w:ascii="Arial" w:hAnsi="Arial" w:cs="Arial"/>
              </w:rPr>
              <w:t>Sections: 15 &amp; 22</w:t>
            </w:r>
          </w:p>
        </w:tc>
      </w:tr>
    </w:tbl>
    <w:p w:rsidR="004C63B1" w:rsidRDefault="004C63B1" w:rsidP="00D86CC4">
      <w:pPr>
        <w:spacing w:after="0"/>
        <w:rPr>
          <w:rFonts w:ascii="Arial" w:hAnsi="Arial" w:cs="Arial"/>
        </w:rPr>
      </w:pPr>
      <w:r w:rsidRPr="002521CC">
        <w:rPr>
          <w:rFonts w:ascii="Arial" w:hAnsi="Arial" w:cs="Arial"/>
        </w:rPr>
        <w:t>Olerud moved, seconded by Hansen to approve the utility permit. All aye. Motion carried</w:t>
      </w:r>
      <w:r w:rsidRPr="00927F27">
        <w:rPr>
          <w:rFonts w:ascii="Arial" w:hAnsi="Arial" w:cs="Arial"/>
        </w:rPr>
        <w:t>.</w:t>
      </w:r>
    </w:p>
    <w:p w:rsidR="004C63B1" w:rsidRDefault="004C63B1" w:rsidP="00D86CC4">
      <w:pPr>
        <w:spacing w:after="0"/>
        <w:rPr>
          <w:rFonts w:ascii="Arial" w:hAnsi="Arial" w:cs="Arial"/>
        </w:rPr>
      </w:pPr>
    </w:p>
    <w:p w:rsidR="00AB32C3" w:rsidRDefault="00AB32C3" w:rsidP="00D86CC4">
      <w:pPr>
        <w:spacing w:after="0"/>
        <w:rPr>
          <w:rFonts w:ascii="Arial" w:hAnsi="Arial" w:cs="Arial"/>
        </w:rPr>
      </w:pPr>
      <w:r>
        <w:rPr>
          <w:rFonts w:ascii="Arial" w:hAnsi="Arial" w:cs="Arial"/>
        </w:rPr>
        <w:lastRenderedPageBreak/>
        <w:t xml:space="preserve">Preliminary budget hearing was scheduled at </w:t>
      </w:r>
      <w:r w:rsidR="00254C66">
        <w:rPr>
          <w:rFonts w:ascii="Arial" w:hAnsi="Arial" w:cs="Arial"/>
        </w:rPr>
        <w:t>10:00 a.m. however due to statute</w:t>
      </w:r>
      <w:r>
        <w:rPr>
          <w:rFonts w:ascii="Arial" w:hAnsi="Arial" w:cs="Arial"/>
        </w:rPr>
        <w:t xml:space="preserve"> code the hearing must be scheduled on or after September 7. The meeting was rescheduled for September 17, 2019 at 10:00 a.m. </w:t>
      </w:r>
    </w:p>
    <w:p w:rsidR="00AB32C3" w:rsidRDefault="00AB32C3" w:rsidP="00D86CC4">
      <w:pPr>
        <w:spacing w:after="0"/>
        <w:rPr>
          <w:rFonts w:ascii="Arial" w:hAnsi="Arial" w:cs="Arial"/>
        </w:rPr>
      </w:pPr>
    </w:p>
    <w:p w:rsidR="00AB32C3" w:rsidRDefault="00AB32C3" w:rsidP="00D86CC4">
      <w:pPr>
        <w:spacing w:after="0"/>
        <w:rPr>
          <w:rFonts w:ascii="Arial" w:hAnsi="Arial" w:cs="Arial"/>
        </w:rPr>
      </w:pPr>
      <w:r>
        <w:rPr>
          <w:rFonts w:ascii="Arial" w:hAnsi="Arial" w:cs="Arial"/>
        </w:rPr>
        <w:t>Norm Hansen said he had talked to Nancy Farnham and Tammy Jacobson and both are willing to be on the social service zone board. Gilbert moved, seconded by Hansen to approve Farnham and Jacobson. All aye. Motion carried.</w:t>
      </w:r>
    </w:p>
    <w:p w:rsidR="00AB32C3" w:rsidRDefault="00AB32C3" w:rsidP="00D86CC4">
      <w:pPr>
        <w:spacing w:after="0"/>
        <w:rPr>
          <w:rFonts w:ascii="Arial" w:hAnsi="Arial" w:cs="Arial"/>
        </w:rPr>
      </w:pPr>
    </w:p>
    <w:p w:rsidR="00AB32C3" w:rsidRDefault="00AB32C3" w:rsidP="00D86CC4">
      <w:pPr>
        <w:spacing w:after="0"/>
        <w:rPr>
          <w:rFonts w:ascii="Arial" w:hAnsi="Arial" w:cs="Arial"/>
        </w:rPr>
      </w:pPr>
      <w:r>
        <w:rPr>
          <w:rFonts w:ascii="Arial" w:hAnsi="Arial" w:cs="Arial"/>
        </w:rPr>
        <w:t>Indirect cost for social services were discussed. Gilbert moved that Ransom and Sargent County would pay for twenty five percent of indirect cost, and Richland County will pay fifty percent. Olerud seconded the motion. All aye. Motion carried.</w:t>
      </w:r>
    </w:p>
    <w:p w:rsidR="00AB32C3" w:rsidRDefault="00AB32C3" w:rsidP="00D86CC4">
      <w:pPr>
        <w:spacing w:after="0"/>
        <w:rPr>
          <w:rFonts w:ascii="Arial" w:hAnsi="Arial" w:cs="Arial"/>
        </w:rPr>
      </w:pPr>
    </w:p>
    <w:p w:rsidR="00AB32C3" w:rsidRDefault="00AB32C3" w:rsidP="00D86CC4">
      <w:pPr>
        <w:spacing w:after="0"/>
        <w:rPr>
          <w:rFonts w:ascii="Arial" w:hAnsi="Arial" w:cs="Arial"/>
        </w:rPr>
      </w:pPr>
      <w:r>
        <w:rPr>
          <w:rFonts w:ascii="Arial" w:hAnsi="Arial" w:cs="Arial"/>
        </w:rPr>
        <w:t xml:space="preserve">Brad Wentz </w:t>
      </w:r>
      <w:r w:rsidR="004719A1">
        <w:rPr>
          <w:rFonts w:ascii="Arial" w:hAnsi="Arial" w:cs="Arial"/>
        </w:rPr>
        <w:t xml:space="preserve">with NDSU Upper Great Plains Transportation Institute presented information on the geographic roadway inventory tool (GRIT) program. The program inventories all paved county roads to see how much money is going to be needed over the next twenty years. Legislature relies on these studies to determine how much money needs to be available. For counties participating in the GRIT program there will be dedicated funding from Operation Prairie Dog to help support the county roads. The program is a web application based program. It measures thickness/depth of the pavement, all road restrictions can be put on a website for easy access. </w:t>
      </w:r>
      <w:r w:rsidR="005B1F0F">
        <w:rPr>
          <w:rFonts w:ascii="Arial" w:hAnsi="Arial" w:cs="Arial"/>
        </w:rPr>
        <w:t>Gravel roads can also be entered into the GRIT program for counties own use.</w:t>
      </w:r>
      <w:r w:rsidR="008A2677">
        <w:rPr>
          <w:rFonts w:ascii="Arial" w:hAnsi="Arial" w:cs="Arial"/>
        </w:rPr>
        <w:t xml:space="preserve"> </w:t>
      </w:r>
      <w:r w:rsidR="006007A2">
        <w:rPr>
          <w:rFonts w:ascii="Arial" w:hAnsi="Arial" w:cs="Arial"/>
        </w:rPr>
        <w:t>NDLTAP will help train counties how to use the GRIT program if needed.</w:t>
      </w:r>
    </w:p>
    <w:p w:rsidR="006007A2" w:rsidRDefault="006007A2" w:rsidP="00D86CC4">
      <w:pPr>
        <w:spacing w:after="0"/>
        <w:rPr>
          <w:rFonts w:ascii="Arial" w:hAnsi="Arial" w:cs="Arial"/>
        </w:rPr>
      </w:pPr>
    </w:p>
    <w:p w:rsidR="006007A2" w:rsidRDefault="006007A2" w:rsidP="00D86CC4">
      <w:pPr>
        <w:spacing w:after="0"/>
        <w:rPr>
          <w:rFonts w:ascii="Arial" w:hAnsi="Arial" w:cs="Arial"/>
        </w:rPr>
      </w:pPr>
      <w:r>
        <w:rPr>
          <w:rFonts w:ascii="Arial" w:hAnsi="Arial" w:cs="Arial"/>
        </w:rPr>
        <w:t xml:space="preserve">Scott Smyth with KLJ informed the board that County Road eight was complete. Smyth was asked by CSI to ask the board to reconsider reducing some of the liquidated damages due to weather conditions. The board discussed. Dick moved to charge CSI for four and a half days of liquidated damages at nine hundred dollars per day due to weather. Hansen seconded the motion. Dick called for a roll call vote, Dick, Hansen, and Gilbert were in Favor, Olerud opposed. Motion carried. Smyth said the seal coat project on the Sheldon road was being completed today, then it needs to sit for seventy two hours before fogging </w:t>
      </w:r>
      <w:r w:rsidR="00254C66">
        <w:rPr>
          <w:rFonts w:ascii="Arial" w:hAnsi="Arial" w:cs="Arial"/>
        </w:rPr>
        <w:t>and striping</w:t>
      </w:r>
      <w:bookmarkStart w:id="0" w:name="_GoBack"/>
      <w:bookmarkEnd w:id="0"/>
      <w:r w:rsidR="002521CC">
        <w:rPr>
          <w:rFonts w:ascii="Arial" w:hAnsi="Arial" w:cs="Arial"/>
        </w:rPr>
        <w:t xml:space="preserve"> can be completed.</w:t>
      </w:r>
    </w:p>
    <w:p w:rsidR="002521CC" w:rsidRDefault="002521CC" w:rsidP="00D86CC4">
      <w:pPr>
        <w:spacing w:after="0"/>
        <w:rPr>
          <w:rFonts w:ascii="Arial" w:hAnsi="Arial" w:cs="Arial"/>
        </w:rPr>
      </w:pPr>
    </w:p>
    <w:p w:rsidR="002521CC" w:rsidRDefault="002521CC" w:rsidP="00D86CC4">
      <w:pPr>
        <w:spacing w:after="0"/>
        <w:rPr>
          <w:rFonts w:ascii="Arial" w:hAnsi="Arial" w:cs="Arial"/>
        </w:rPr>
      </w:pPr>
      <w:r>
        <w:rPr>
          <w:rFonts w:ascii="Arial" w:hAnsi="Arial" w:cs="Arial"/>
        </w:rPr>
        <w:t xml:space="preserve">Smyth presented the board with the application to the State Water Commission for both sites. </w:t>
      </w:r>
    </w:p>
    <w:p w:rsidR="002521CC" w:rsidRDefault="002521CC" w:rsidP="00D86CC4">
      <w:pPr>
        <w:spacing w:after="0"/>
        <w:rPr>
          <w:rFonts w:ascii="Arial" w:hAnsi="Arial" w:cs="Arial"/>
        </w:rPr>
      </w:pPr>
    </w:p>
    <w:p w:rsidR="002521CC" w:rsidRDefault="002521CC" w:rsidP="00D86CC4">
      <w:pPr>
        <w:spacing w:after="0"/>
        <w:rPr>
          <w:rFonts w:ascii="Arial" w:hAnsi="Arial" w:cs="Arial"/>
        </w:rPr>
      </w:pPr>
      <w:r>
        <w:rPr>
          <w:rFonts w:ascii="Arial" w:hAnsi="Arial" w:cs="Arial"/>
        </w:rPr>
        <w:t xml:space="preserve">Smyth and the board discussed a few bridges in the county that will be needing work in the near future. Smyth will start working on the federal aid plan to see what kind of money will be available. </w:t>
      </w:r>
    </w:p>
    <w:p w:rsidR="002521CC" w:rsidRDefault="002521CC" w:rsidP="00D86CC4">
      <w:pPr>
        <w:spacing w:after="0"/>
        <w:rPr>
          <w:rFonts w:ascii="Arial" w:hAnsi="Arial" w:cs="Arial"/>
        </w:rPr>
      </w:pPr>
    </w:p>
    <w:p w:rsidR="002521CC" w:rsidRDefault="002521CC" w:rsidP="00D86CC4">
      <w:pPr>
        <w:spacing w:after="0"/>
        <w:rPr>
          <w:rFonts w:ascii="Arial" w:hAnsi="Arial" w:cs="Arial"/>
        </w:rPr>
      </w:pPr>
    </w:p>
    <w:p w:rsidR="002521CC" w:rsidRPr="00B55713" w:rsidRDefault="002521CC" w:rsidP="002521CC">
      <w:pPr>
        <w:rPr>
          <w:rFonts w:ascii="Arial" w:hAnsi="Arial" w:cs="Arial"/>
        </w:rPr>
      </w:pPr>
      <w:r w:rsidRPr="00B55713">
        <w:rPr>
          <w:rFonts w:ascii="Arial" w:hAnsi="Arial" w:cs="Arial"/>
        </w:rPr>
        <w:t>Being nothing further to come before the board, Chairman Dic</w:t>
      </w:r>
      <w:r>
        <w:rPr>
          <w:rFonts w:ascii="Arial" w:hAnsi="Arial" w:cs="Arial"/>
        </w:rPr>
        <w:t>k adjourned the meeting at 11:33 a</w:t>
      </w:r>
      <w:r w:rsidRPr="00B55713">
        <w:rPr>
          <w:rFonts w:ascii="Arial" w:hAnsi="Arial" w:cs="Arial"/>
        </w:rPr>
        <w:t>.m.</w:t>
      </w:r>
    </w:p>
    <w:p w:rsidR="002521CC" w:rsidRPr="00B55713" w:rsidRDefault="002521CC" w:rsidP="002521CC">
      <w:pPr>
        <w:rPr>
          <w:rFonts w:ascii="Arial" w:hAnsi="Arial" w:cs="Arial"/>
        </w:rPr>
      </w:pPr>
    </w:p>
    <w:p w:rsidR="002521CC" w:rsidRPr="00B55713" w:rsidRDefault="002521CC" w:rsidP="002521CC">
      <w:pPr>
        <w:rPr>
          <w:rFonts w:ascii="Arial" w:hAnsi="Arial" w:cs="Arial"/>
        </w:rPr>
      </w:pPr>
    </w:p>
    <w:p w:rsidR="002521CC" w:rsidRPr="00B55713" w:rsidRDefault="002521CC" w:rsidP="002521CC">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rsidR="002521CC" w:rsidRPr="00B55713" w:rsidRDefault="002521CC" w:rsidP="002521CC">
      <w:pPr>
        <w:spacing w:after="0" w:line="240" w:lineRule="auto"/>
        <w:rPr>
          <w:rFonts w:ascii="Arial" w:hAnsi="Arial" w:cs="Arial"/>
        </w:rPr>
      </w:pPr>
      <w:r w:rsidRPr="00B55713">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Steve Dick, Chairman</w:t>
      </w:r>
    </w:p>
    <w:p w:rsidR="002521CC" w:rsidRPr="00B55713" w:rsidRDefault="002521CC" w:rsidP="002521CC">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2521CC" w:rsidRDefault="002521CC" w:rsidP="002521CC">
      <w:pPr>
        <w:spacing w:after="0"/>
        <w:rPr>
          <w:rFonts w:ascii="Arial" w:hAnsi="Arial" w:cs="Arial"/>
        </w:rPr>
      </w:pPr>
    </w:p>
    <w:p w:rsidR="005B1F0F" w:rsidRDefault="005B1F0F" w:rsidP="00D86CC4">
      <w:pPr>
        <w:spacing w:after="0"/>
        <w:rPr>
          <w:rFonts w:ascii="Arial" w:hAnsi="Arial" w:cs="Arial"/>
        </w:rPr>
      </w:pPr>
    </w:p>
    <w:p w:rsidR="004C63B1" w:rsidRPr="00D86CC4" w:rsidRDefault="004C63B1" w:rsidP="00D86CC4">
      <w:pPr>
        <w:spacing w:after="0"/>
        <w:rPr>
          <w:rFonts w:ascii="Arial" w:hAnsi="Arial" w:cs="Arial"/>
        </w:rPr>
      </w:pPr>
    </w:p>
    <w:sectPr w:rsidR="004C63B1" w:rsidRPr="00D86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C4"/>
    <w:rsid w:val="002521CC"/>
    <w:rsid w:val="00254C66"/>
    <w:rsid w:val="00273E68"/>
    <w:rsid w:val="004719A1"/>
    <w:rsid w:val="004C63B1"/>
    <w:rsid w:val="004E1F31"/>
    <w:rsid w:val="004F507C"/>
    <w:rsid w:val="005B1F0F"/>
    <w:rsid w:val="006007A2"/>
    <w:rsid w:val="006E158A"/>
    <w:rsid w:val="00787E8A"/>
    <w:rsid w:val="008A2677"/>
    <w:rsid w:val="00927F27"/>
    <w:rsid w:val="009B2D36"/>
    <w:rsid w:val="00A40274"/>
    <w:rsid w:val="00AB32C3"/>
    <w:rsid w:val="00B60FCF"/>
    <w:rsid w:val="00CE7E7C"/>
    <w:rsid w:val="00D8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F47F"/>
  <w15:chartTrackingRefBased/>
  <w15:docId w15:val="{CF4287A9-E885-4BEC-A278-ED68F88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0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dcterms:created xsi:type="dcterms:W3CDTF">2019-09-16T13:37:00Z</dcterms:created>
  <dcterms:modified xsi:type="dcterms:W3CDTF">2019-09-17T21:38:00Z</dcterms:modified>
</cp:coreProperties>
</file>