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7A3634" w:rsidP="007A3634">
      <w:pPr>
        <w:spacing w:after="0"/>
        <w:rPr>
          <w:rFonts w:ascii="Arial Black" w:hAnsi="Arial Black"/>
        </w:rPr>
      </w:pPr>
      <w:bookmarkStart w:id="0" w:name="_GoBack"/>
      <w:bookmarkEnd w:id="0"/>
      <w:r>
        <w:rPr>
          <w:rFonts w:ascii="Arial Black" w:hAnsi="Arial Black"/>
        </w:rPr>
        <w:t>RANSOM COUNTY BOARD OF COMMISSIONERS</w:t>
      </w:r>
    </w:p>
    <w:p w:rsidR="007A3634" w:rsidRDefault="007A3634" w:rsidP="007A3634">
      <w:pPr>
        <w:spacing w:after="0"/>
        <w:rPr>
          <w:rFonts w:ascii="Arial" w:hAnsi="Arial" w:cs="Arial"/>
        </w:rPr>
      </w:pPr>
      <w:r>
        <w:rPr>
          <w:rFonts w:ascii="Arial" w:hAnsi="Arial" w:cs="Arial"/>
        </w:rPr>
        <w:t>Regular Meeting – February 4, 2020</w:t>
      </w:r>
    </w:p>
    <w:p w:rsidR="007A3634" w:rsidRDefault="007A3634" w:rsidP="007A3634">
      <w:pPr>
        <w:spacing w:after="0"/>
        <w:rPr>
          <w:rFonts w:ascii="Arial" w:hAnsi="Arial" w:cs="Arial"/>
        </w:rPr>
      </w:pPr>
    </w:p>
    <w:p w:rsidR="007A3634" w:rsidRDefault="007A3634" w:rsidP="007A3634">
      <w:pPr>
        <w:spacing w:after="0"/>
        <w:rPr>
          <w:rFonts w:ascii="Arial" w:hAnsi="Arial" w:cs="Arial"/>
        </w:rPr>
      </w:pPr>
      <w:r>
        <w:rPr>
          <w:rFonts w:ascii="Arial" w:hAnsi="Arial" w:cs="Arial"/>
        </w:rPr>
        <w:t xml:space="preserve">The meeting was called to order at 9:00 a.m. by Chairman Neil Olerud. The Pledge of Allegiance was recited. Members present: Neil Olerud, Norm Hansen, Connie Gilbert, George Bunn, and Steve Dick. </w:t>
      </w:r>
    </w:p>
    <w:p w:rsidR="007A3634" w:rsidRDefault="007A3634" w:rsidP="007A3634">
      <w:pPr>
        <w:spacing w:after="0"/>
        <w:rPr>
          <w:rFonts w:ascii="Arial" w:hAnsi="Arial" w:cs="Arial"/>
        </w:rPr>
      </w:pPr>
    </w:p>
    <w:p w:rsidR="007A3634" w:rsidRDefault="007A3634" w:rsidP="007A3634">
      <w:pPr>
        <w:spacing w:after="0"/>
        <w:rPr>
          <w:rFonts w:ascii="Arial" w:hAnsi="Arial" w:cs="Arial"/>
        </w:rPr>
      </w:pPr>
      <w:r>
        <w:rPr>
          <w:rFonts w:ascii="Arial" w:hAnsi="Arial" w:cs="Arial"/>
        </w:rPr>
        <w:t>The agenda was reviewed. Auditor Nicole Gentzkow asked to add Chelsey Jones, from Public Health, and Scott Smyth with KLJ. Gilbert moved, seconded by Hansen, to approve the agenda with additions. All aye. Motion carried.</w:t>
      </w:r>
    </w:p>
    <w:p w:rsidR="007A3634" w:rsidRDefault="007A3634" w:rsidP="007A3634">
      <w:pPr>
        <w:spacing w:after="0"/>
        <w:rPr>
          <w:rFonts w:ascii="Arial" w:hAnsi="Arial" w:cs="Arial"/>
        </w:rPr>
      </w:pPr>
    </w:p>
    <w:p w:rsidR="007A3634" w:rsidRDefault="007A3634" w:rsidP="007A3634">
      <w:pPr>
        <w:spacing w:after="0"/>
        <w:rPr>
          <w:rFonts w:ascii="Arial" w:hAnsi="Arial" w:cs="Arial"/>
        </w:rPr>
      </w:pPr>
      <w:r>
        <w:rPr>
          <w:rFonts w:ascii="Arial" w:hAnsi="Arial" w:cs="Arial"/>
        </w:rPr>
        <w:t xml:space="preserve">Chelsey Jones, </w:t>
      </w:r>
      <w:r w:rsidR="004A2296">
        <w:rPr>
          <w:rFonts w:ascii="Arial" w:hAnsi="Arial" w:cs="Arial"/>
        </w:rPr>
        <w:t xml:space="preserve">public health, appeared before the board to ask for permission to attend a conference in Washington, DC for a national family planning clinic. </w:t>
      </w:r>
      <w:r w:rsidR="00991183">
        <w:rPr>
          <w:rFonts w:ascii="Arial" w:hAnsi="Arial" w:cs="Arial"/>
        </w:rPr>
        <w:t>Richland County received a grant to go to the national family planning clinic and have enough money for Jones to attend with them. The only expense to Ransom County will be for a few meals, and mileage to and from the airport. The conference is March seventh through the tenth. Bunn moved, seconded by Hansen, to approve Jones to attend the conference in Washington, DC. All aye. Motion carried.</w:t>
      </w:r>
    </w:p>
    <w:p w:rsidR="00991183" w:rsidRDefault="00991183" w:rsidP="007A3634">
      <w:pPr>
        <w:spacing w:after="0"/>
        <w:rPr>
          <w:rFonts w:ascii="Arial" w:hAnsi="Arial" w:cs="Arial"/>
        </w:rPr>
      </w:pPr>
    </w:p>
    <w:p w:rsidR="00991183" w:rsidRDefault="00991183" w:rsidP="007A3634">
      <w:pPr>
        <w:spacing w:after="0"/>
        <w:rPr>
          <w:rFonts w:ascii="Arial" w:hAnsi="Arial" w:cs="Arial"/>
        </w:rPr>
      </w:pPr>
      <w:r>
        <w:rPr>
          <w:rFonts w:ascii="Arial" w:hAnsi="Arial" w:cs="Arial"/>
        </w:rPr>
        <w:t>Minutes from the January 21</w:t>
      </w:r>
      <w:r>
        <w:rPr>
          <w:rFonts w:ascii="Arial" w:hAnsi="Arial" w:cs="Arial"/>
          <w:vertAlign w:val="superscript"/>
        </w:rPr>
        <w:t xml:space="preserve"> </w:t>
      </w:r>
      <w:r w:rsidR="005E3057">
        <w:rPr>
          <w:rFonts w:ascii="Arial" w:hAnsi="Arial" w:cs="Arial"/>
        </w:rPr>
        <w:t>regular scheduled commission</w:t>
      </w:r>
      <w:r>
        <w:rPr>
          <w:rFonts w:ascii="Arial" w:hAnsi="Arial" w:cs="Arial"/>
        </w:rPr>
        <w:t xml:space="preserve"> meeting were considered. Bunn moved, seconded by Gilbert, to approve minutes</w:t>
      </w:r>
      <w:r w:rsidR="005E3057">
        <w:rPr>
          <w:rFonts w:ascii="Arial" w:hAnsi="Arial" w:cs="Arial"/>
        </w:rPr>
        <w:t xml:space="preserve"> with corrections. All aye. Motion carried.</w:t>
      </w:r>
    </w:p>
    <w:p w:rsidR="005E3057" w:rsidRDefault="005E3057" w:rsidP="007A3634">
      <w:pPr>
        <w:spacing w:after="0"/>
        <w:rPr>
          <w:rFonts w:ascii="Arial" w:hAnsi="Arial" w:cs="Arial"/>
        </w:rPr>
      </w:pPr>
    </w:p>
    <w:p w:rsidR="005E3057" w:rsidRDefault="005E3057" w:rsidP="007A3634">
      <w:pPr>
        <w:spacing w:after="0"/>
        <w:rPr>
          <w:rFonts w:ascii="Arial" w:hAnsi="Arial" w:cs="Arial"/>
        </w:rPr>
      </w:pPr>
      <w:r>
        <w:rPr>
          <w:rFonts w:ascii="Arial" w:hAnsi="Arial" w:cs="Arial"/>
        </w:rPr>
        <w:t xml:space="preserve">Manual warrants in the amount of $5,740.75 were considered. </w:t>
      </w:r>
      <w:r w:rsidR="00892E60">
        <w:rPr>
          <w:rFonts w:ascii="Arial" w:hAnsi="Arial" w:cs="Arial"/>
        </w:rPr>
        <w:t xml:space="preserve">Dick moved, seconded by Hansen, to pay manual warrants. </w:t>
      </w:r>
    </w:p>
    <w:tbl>
      <w:tblPr>
        <w:tblStyle w:val="TableGrid"/>
        <w:tblW w:w="9355" w:type="dxa"/>
        <w:tblInd w:w="0" w:type="dxa"/>
        <w:tblLook w:val="04A0" w:firstRow="1" w:lastRow="0" w:firstColumn="1" w:lastColumn="0" w:noHBand="0" w:noVBand="1"/>
      </w:tblPr>
      <w:tblGrid>
        <w:gridCol w:w="1903"/>
        <w:gridCol w:w="1886"/>
        <w:gridCol w:w="3586"/>
        <w:gridCol w:w="1980"/>
      </w:tblGrid>
      <w:tr w:rsidR="005E3057" w:rsidTr="00810A8B">
        <w:trPr>
          <w:trHeight w:val="350"/>
        </w:trPr>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1/22/20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154</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$219.29</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1/22/20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163</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$2398.54</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1/21/20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148</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$273.90</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1/21/20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153</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Great America Financial</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$384.20</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1/08/20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155</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City of Lisbon</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$153.54</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1/08/20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156</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City of Lisbon</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$26.60</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1/08/20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157</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City of Lisbon</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$29.50</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1/08/20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158</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City of Lisbon</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$10.00</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1/08/20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162</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City of Lisbon</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$73.24</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1/21/20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146</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Marco</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$257.87</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1/22/20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149</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Marco</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$135.00</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1/29/20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150</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Marco</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$138.94</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1/16/20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147</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ND Game and Fish Department</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$60.00</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1/16/20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151</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Southeast Water Users</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$55.41</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1/08/20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152</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 xml:space="preserve">Tesoro Fleet Services </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$900.59</w:t>
            </w:r>
          </w:p>
        </w:tc>
      </w:tr>
      <w:tr w:rsidR="005E3057" w:rsidTr="00810A8B">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1/28/20</w:t>
            </w:r>
          </w:p>
        </w:tc>
        <w:tc>
          <w:tcPr>
            <w:tcW w:w="1886" w:type="dxa"/>
            <w:tcBorders>
              <w:top w:val="single" w:sz="4" w:space="0" w:color="auto"/>
              <w:left w:val="single" w:sz="4" w:space="0" w:color="auto"/>
              <w:bottom w:val="single" w:sz="4" w:space="0" w:color="auto"/>
              <w:right w:val="single" w:sz="4" w:space="0" w:color="auto"/>
            </w:tcBorders>
            <w:hideMark/>
          </w:tcPr>
          <w:p w:rsidR="005E3057" w:rsidRDefault="005E3057" w:rsidP="00810A8B">
            <w:r>
              <w:t>ACH 161</w:t>
            </w:r>
          </w:p>
        </w:tc>
        <w:tc>
          <w:tcPr>
            <w:tcW w:w="3586" w:type="dxa"/>
            <w:tcBorders>
              <w:top w:val="single" w:sz="4" w:space="0" w:color="auto"/>
              <w:left w:val="single" w:sz="4" w:space="0" w:color="auto"/>
              <w:bottom w:val="single" w:sz="4" w:space="0" w:color="auto"/>
              <w:right w:val="single" w:sz="4" w:space="0" w:color="auto"/>
            </w:tcBorders>
            <w:hideMark/>
          </w:tcPr>
          <w:p w:rsidR="005E3057" w:rsidRDefault="005E3057" w:rsidP="00810A8B">
            <w:r>
              <w:t>Total Administrative Services Corp</w:t>
            </w:r>
          </w:p>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$115.02</w:t>
            </w:r>
          </w:p>
        </w:tc>
      </w:tr>
      <w:tr w:rsidR="005E3057" w:rsidTr="00810A8B">
        <w:tc>
          <w:tcPr>
            <w:tcW w:w="1903" w:type="dxa"/>
            <w:tcBorders>
              <w:top w:val="single" w:sz="4" w:space="0" w:color="auto"/>
              <w:left w:val="single" w:sz="4" w:space="0" w:color="auto"/>
              <w:bottom w:val="single" w:sz="4" w:space="0" w:color="auto"/>
              <w:right w:val="single" w:sz="4" w:space="0" w:color="auto"/>
            </w:tcBorders>
          </w:tcPr>
          <w:p w:rsidR="005E3057" w:rsidRDefault="005E3057" w:rsidP="00810A8B">
            <w:r>
              <w:t>1/27/20</w:t>
            </w:r>
          </w:p>
        </w:tc>
        <w:tc>
          <w:tcPr>
            <w:tcW w:w="1886" w:type="dxa"/>
            <w:tcBorders>
              <w:top w:val="single" w:sz="4" w:space="0" w:color="auto"/>
              <w:left w:val="single" w:sz="4" w:space="0" w:color="auto"/>
              <w:bottom w:val="single" w:sz="4" w:space="0" w:color="auto"/>
              <w:right w:val="single" w:sz="4" w:space="0" w:color="auto"/>
            </w:tcBorders>
          </w:tcPr>
          <w:p w:rsidR="005E3057" w:rsidRDefault="005E3057" w:rsidP="00810A8B">
            <w:r>
              <w:t>ACH 159</w:t>
            </w:r>
          </w:p>
        </w:tc>
        <w:tc>
          <w:tcPr>
            <w:tcW w:w="3586" w:type="dxa"/>
            <w:tcBorders>
              <w:top w:val="single" w:sz="4" w:space="0" w:color="auto"/>
              <w:left w:val="single" w:sz="4" w:space="0" w:color="auto"/>
              <w:bottom w:val="single" w:sz="4" w:space="0" w:color="auto"/>
              <w:right w:val="single" w:sz="4" w:space="0" w:color="auto"/>
            </w:tcBorders>
          </w:tcPr>
          <w:p w:rsidR="005E3057" w:rsidRDefault="005E3057" w:rsidP="00810A8B">
            <w:r>
              <w:t>Voyager Fleet System</w:t>
            </w:r>
          </w:p>
        </w:tc>
        <w:tc>
          <w:tcPr>
            <w:tcW w:w="1980" w:type="dxa"/>
            <w:tcBorders>
              <w:top w:val="single" w:sz="4" w:space="0" w:color="auto"/>
              <w:left w:val="single" w:sz="4" w:space="0" w:color="auto"/>
              <w:bottom w:val="single" w:sz="4" w:space="0" w:color="auto"/>
              <w:right w:val="single" w:sz="4" w:space="0" w:color="auto"/>
            </w:tcBorders>
          </w:tcPr>
          <w:p w:rsidR="005E3057" w:rsidRDefault="005E3057" w:rsidP="00810A8B">
            <w:r>
              <w:t>$108.52</w:t>
            </w:r>
          </w:p>
        </w:tc>
      </w:tr>
      <w:tr w:rsidR="005E3057" w:rsidTr="00810A8B">
        <w:tc>
          <w:tcPr>
            <w:tcW w:w="1903" w:type="dxa"/>
            <w:tcBorders>
              <w:top w:val="single" w:sz="4" w:space="0" w:color="auto"/>
              <w:left w:val="single" w:sz="4" w:space="0" w:color="auto"/>
              <w:bottom w:val="single" w:sz="4" w:space="0" w:color="auto"/>
              <w:right w:val="single" w:sz="4" w:space="0" w:color="auto"/>
            </w:tcBorders>
          </w:tcPr>
          <w:p w:rsidR="005E3057" w:rsidRDefault="005E3057" w:rsidP="00810A8B">
            <w:r>
              <w:t>1/27/20</w:t>
            </w:r>
          </w:p>
        </w:tc>
        <w:tc>
          <w:tcPr>
            <w:tcW w:w="1886" w:type="dxa"/>
            <w:tcBorders>
              <w:top w:val="single" w:sz="4" w:space="0" w:color="auto"/>
              <w:left w:val="single" w:sz="4" w:space="0" w:color="auto"/>
              <w:bottom w:val="single" w:sz="4" w:space="0" w:color="auto"/>
              <w:right w:val="single" w:sz="4" w:space="0" w:color="auto"/>
            </w:tcBorders>
          </w:tcPr>
          <w:p w:rsidR="005E3057" w:rsidRDefault="005E3057" w:rsidP="00810A8B">
            <w:r>
              <w:t>ACH 160</w:t>
            </w:r>
          </w:p>
        </w:tc>
        <w:tc>
          <w:tcPr>
            <w:tcW w:w="3586" w:type="dxa"/>
            <w:tcBorders>
              <w:top w:val="single" w:sz="4" w:space="0" w:color="auto"/>
              <w:left w:val="single" w:sz="4" w:space="0" w:color="auto"/>
              <w:bottom w:val="single" w:sz="4" w:space="0" w:color="auto"/>
              <w:right w:val="single" w:sz="4" w:space="0" w:color="auto"/>
            </w:tcBorders>
          </w:tcPr>
          <w:p w:rsidR="005E3057" w:rsidRDefault="005E3057" w:rsidP="00810A8B">
            <w:r>
              <w:t>Voyager Fleet System</w:t>
            </w:r>
          </w:p>
        </w:tc>
        <w:tc>
          <w:tcPr>
            <w:tcW w:w="1980" w:type="dxa"/>
            <w:tcBorders>
              <w:top w:val="single" w:sz="4" w:space="0" w:color="auto"/>
              <w:left w:val="single" w:sz="4" w:space="0" w:color="auto"/>
              <w:bottom w:val="single" w:sz="4" w:space="0" w:color="auto"/>
              <w:right w:val="single" w:sz="4" w:space="0" w:color="auto"/>
            </w:tcBorders>
          </w:tcPr>
          <w:p w:rsidR="005E3057" w:rsidRDefault="005E3057" w:rsidP="00810A8B">
            <w:r>
              <w:t>$400.59</w:t>
            </w:r>
          </w:p>
        </w:tc>
      </w:tr>
      <w:tr w:rsidR="005E3057" w:rsidTr="00810A8B">
        <w:trPr>
          <w:trHeight w:val="287"/>
        </w:trPr>
        <w:tc>
          <w:tcPr>
            <w:tcW w:w="1903" w:type="dxa"/>
            <w:tcBorders>
              <w:top w:val="single" w:sz="4" w:space="0" w:color="auto"/>
              <w:left w:val="single" w:sz="4" w:space="0" w:color="auto"/>
              <w:bottom w:val="single" w:sz="4" w:space="0" w:color="auto"/>
              <w:right w:val="single" w:sz="4" w:space="0" w:color="auto"/>
            </w:tcBorders>
          </w:tcPr>
          <w:p w:rsidR="005E3057" w:rsidRDefault="005E3057" w:rsidP="00810A8B"/>
        </w:tc>
        <w:tc>
          <w:tcPr>
            <w:tcW w:w="1886" w:type="dxa"/>
            <w:tcBorders>
              <w:top w:val="single" w:sz="4" w:space="0" w:color="auto"/>
              <w:left w:val="single" w:sz="4" w:space="0" w:color="auto"/>
              <w:bottom w:val="single" w:sz="4" w:space="0" w:color="auto"/>
              <w:right w:val="single" w:sz="4" w:space="0" w:color="auto"/>
            </w:tcBorders>
          </w:tcPr>
          <w:p w:rsidR="005E3057" w:rsidRDefault="005E3057" w:rsidP="00810A8B"/>
        </w:tc>
        <w:tc>
          <w:tcPr>
            <w:tcW w:w="3586" w:type="dxa"/>
            <w:tcBorders>
              <w:top w:val="single" w:sz="4" w:space="0" w:color="auto"/>
              <w:left w:val="single" w:sz="4" w:space="0" w:color="auto"/>
              <w:bottom w:val="single" w:sz="4" w:space="0" w:color="auto"/>
              <w:right w:val="single" w:sz="4" w:space="0" w:color="auto"/>
            </w:tcBorders>
          </w:tcPr>
          <w:p w:rsidR="005E3057" w:rsidRDefault="005E3057" w:rsidP="00810A8B"/>
        </w:tc>
        <w:tc>
          <w:tcPr>
            <w:tcW w:w="1980" w:type="dxa"/>
            <w:tcBorders>
              <w:top w:val="single" w:sz="4" w:space="0" w:color="auto"/>
              <w:left w:val="single" w:sz="4" w:space="0" w:color="auto"/>
              <w:bottom w:val="single" w:sz="4" w:space="0" w:color="auto"/>
              <w:right w:val="single" w:sz="4" w:space="0" w:color="auto"/>
            </w:tcBorders>
          </w:tcPr>
          <w:p w:rsidR="005E3057" w:rsidRDefault="005E3057" w:rsidP="00810A8B"/>
        </w:tc>
      </w:tr>
      <w:tr w:rsidR="005E3057" w:rsidTr="00810A8B">
        <w:trPr>
          <w:trHeight w:val="287"/>
        </w:trPr>
        <w:tc>
          <w:tcPr>
            <w:tcW w:w="1903" w:type="dxa"/>
            <w:tcBorders>
              <w:top w:val="single" w:sz="4" w:space="0" w:color="auto"/>
              <w:left w:val="single" w:sz="4" w:space="0" w:color="auto"/>
              <w:bottom w:val="single" w:sz="4" w:space="0" w:color="auto"/>
              <w:right w:val="single" w:sz="4" w:space="0" w:color="auto"/>
            </w:tcBorders>
            <w:hideMark/>
          </w:tcPr>
          <w:p w:rsidR="005E3057" w:rsidRDefault="005E3057" w:rsidP="00810A8B">
            <w:r>
              <w:t xml:space="preserve">Total </w:t>
            </w:r>
          </w:p>
        </w:tc>
        <w:tc>
          <w:tcPr>
            <w:tcW w:w="1886" w:type="dxa"/>
            <w:tcBorders>
              <w:top w:val="single" w:sz="4" w:space="0" w:color="auto"/>
              <w:left w:val="single" w:sz="4" w:space="0" w:color="auto"/>
              <w:bottom w:val="single" w:sz="4" w:space="0" w:color="auto"/>
              <w:right w:val="single" w:sz="4" w:space="0" w:color="auto"/>
            </w:tcBorders>
          </w:tcPr>
          <w:p w:rsidR="005E3057" w:rsidRDefault="005E3057" w:rsidP="00810A8B"/>
        </w:tc>
        <w:tc>
          <w:tcPr>
            <w:tcW w:w="3586" w:type="dxa"/>
            <w:tcBorders>
              <w:top w:val="single" w:sz="4" w:space="0" w:color="auto"/>
              <w:left w:val="single" w:sz="4" w:space="0" w:color="auto"/>
              <w:bottom w:val="single" w:sz="4" w:space="0" w:color="auto"/>
              <w:right w:val="single" w:sz="4" w:space="0" w:color="auto"/>
            </w:tcBorders>
          </w:tcPr>
          <w:p w:rsidR="005E3057" w:rsidRDefault="005E3057" w:rsidP="00810A8B"/>
        </w:tc>
        <w:tc>
          <w:tcPr>
            <w:tcW w:w="1980" w:type="dxa"/>
            <w:tcBorders>
              <w:top w:val="single" w:sz="4" w:space="0" w:color="auto"/>
              <w:left w:val="single" w:sz="4" w:space="0" w:color="auto"/>
              <w:bottom w:val="single" w:sz="4" w:space="0" w:color="auto"/>
              <w:right w:val="single" w:sz="4" w:space="0" w:color="auto"/>
            </w:tcBorders>
            <w:hideMark/>
          </w:tcPr>
          <w:p w:rsidR="005E3057" w:rsidRDefault="005E3057" w:rsidP="00810A8B">
            <w:r>
              <w:t>$5740.75</w:t>
            </w:r>
          </w:p>
        </w:tc>
      </w:tr>
    </w:tbl>
    <w:p w:rsidR="005E3057" w:rsidRDefault="005E3057" w:rsidP="007A3634">
      <w:pPr>
        <w:spacing w:after="0"/>
        <w:rPr>
          <w:rFonts w:ascii="Arial" w:hAnsi="Arial" w:cs="Arial"/>
        </w:rPr>
      </w:pPr>
    </w:p>
    <w:p w:rsidR="005E3057" w:rsidRDefault="005E3057" w:rsidP="007A3634">
      <w:pPr>
        <w:spacing w:after="0"/>
        <w:rPr>
          <w:rFonts w:ascii="Arial" w:hAnsi="Arial" w:cs="Arial"/>
        </w:rPr>
      </w:pPr>
    </w:p>
    <w:p w:rsidR="009B757B" w:rsidRDefault="00892E60">
      <w:pPr>
        <w:rPr>
          <w:rFonts w:ascii="Arial" w:hAnsi="Arial" w:cs="Arial"/>
        </w:rPr>
      </w:pPr>
      <w:r>
        <w:rPr>
          <w:rFonts w:ascii="Arial" w:hAnsi="Arial" w:cs="Arial"/>
        </w:rPr>
        <w:t>Lance Gulleson with Farmers Union appeared before the board to discuss the</w:t>
      </w:r>
      <w:r w:rsidR="009D472B">
        <w:rPr>
          <w:rFonts w:ascii="Arial" w:hAnsi="Arial" w:cs="Arial"/>
        </w:rPr>
        <w:t xml:space="preserve"> liability, auto, and inland marine</w:t>
      </w:r>
      <w:r>
        <w:rPr>
          <w:rFonts w:ascii="Arial" w:hAnsi="Arial" w:cs="Arial"/>
        </w:rPr>
        <w:t xml:space="preserve"> </w:t>
      </w:r>
      <w:r w:rsidR="009D472B">
        <w:rPr>
          <w:rFonts w:ascii="Arial" w:hAnsi="Arial" w:cs="Arial"/>
        </w:rPr>
        <w:t xml:space="preserve">plan that is up for renewal January 14, 2020. NDIRF now offers a blanket policy for the inland marine and fire and tornado policy. It would have identical coverage and would save the county around $1900 per year. The County could also add an equipment break down policy for Public Health to protect if a cooler or any </w:t>
      </w:r>
      <w:r w:rsidR="009B757B">
        <w:rPr>
          <w:rFonts w:ascii="Arial" w:hAnsi="Arial" w:cs="Arial"/>
        </w:rPr>
        <w:t>equipment quits working. The blanket policy would be easier to work with if a claim were filed. It is a dollar value coverage versus every single item being listed out. It is more of a user friendly policy. Gilbert moved, seconded by Hansen, to go with the blanket policy and add the equipment breakdown protection. All aye. Motion carried.</w:t>
      </w:r>
    </w:p>
    <w:p w:rsidR="004B0882" w:rsidRDefault="009B757B">
      <w:pPr>
        <w:rPr>
          <w:rFonts w:ascii="Arial" w:hAnsi="Arial" w:cs="Arial"/>
        </w:rPr>
      </w:pPr>
      <w:r>
        <w:rPr>
          <w:rFonts w:ascii="Arial" w:hAnsi="Arial" w:cs="Arial"/>
        </w:rPr>
        <w:t>Information Sargent County has gathered on trying to be</w:t>
      </w:r>
      <w:r w:rsidR="004B0882">
        <w:rPr>
          <w:rFonts w:ascii="Arial" w:hAnsi="Arial" w:cs="Arial"/>
        </w:rPr>
        <w:t xml:space="preserve">come home rule was passed out. </w:t>
      </w:r>
    </w:p>
    <w:p w:rsidR="004B0882" w:rsidRDefault="004B0882">
      <w:pPr>
        <w:rPr>
          <w:rFonts w:ascii="Arial" w:hAnsi="Arial" w:cs="Arial"/>
        </w:rPr>
      </w:pPr>
      <w:r>
        <w:rPr>
          <w:rFonts w:ascii="Arial" w:hAnsi="Arial" w:cs="Arial"/>
        </w:rPr>
        <w:t>McLeod Softball submitted a local gaming permit, along with the appropriate fee. Gilbert moved, seconded by Hansen, to approve the permit. All aye. Motion carried.</w:t>
      </w:r>
    </w:p>
    <w:p w:rsidR="004B0882" w:rsidRDefault="004B0882">
      <w:pPr>
        <w:rPr>
          <w:rFonts w:ascii="Arial" w:hAnsi="Arial" w:cs="Arial"/>
        </w:rPr>
      </w:pPr>
      <w:r>
        <w:rPr>
          <w:rFonts w:ascii="Arial" w:hAnsi="Arial" w:cs="Arial"/>
        </w:rPr>
        <w:t>Anselm Women of the World submitted a local charity permit via email, they are sending the check. Bunn moved, seconded by Dick, to approve the permit pending we receive the check. All aye. Motion carried.</w:t>
      </w:r>
    </w:p>
    <w:p w:rsidR="004B0882" w:rsidRDefault="004B0882">
      <w:pPr>
        <w:rPr>
          <w:rFonts w:ascii="Arial" w:hAnsi="Arial" w:cs="Arial"/>
        </w:rPr>
      </w:pPr>
      <w:r>
        <w:rPr>
          <w:rFonts w:ascii="Arial" w:hAnsi="Arial" w:cs="Arial"/>
        </w:rPr>
        <w:lastRenderedPageBreak/>
        <w:t xml:space="preserve">Good Shepherd Church </w:t>
      </w:r>
      <w:proofErr w:type="spellStart"/>
      <w:r>
        <w:rPr>
          <w:rFonts w:ascii="Arial" w:hAnsi="Arial" w:cs="Arial"/>
        </w:rPr>
        <w:t>Welca</w:t>
      </w:r>
      <w:proofErr w:type="spellEnd"/>
      <w:r>
        <w:rPr>
          <w:rFonts w:ascii="Arial" w:hAnsi="Arial" w:cs="Arial"/>
        </w:rPr>
        <w:t xml:space="preserve"> submitted a local charity permit along with the appropriate fee. Dick moved, seconded by Hansen, to approve the permit. All aye. Motion carried.</w:t>
      </w:r>
    </w:p>
    <w:p w:rsidR="007A3634" w:rsidRDefault="004B0882">
      <w:pPr>
        <w:rPr>
          <w:rFonts w:ascii="Arial" w:hAnsi="Arial" w:cs="Arial"/>
        </w:rPr>
      </w:pPr>
      <w:r>
        <w:rPr>
          <w:rFonts w:ascii="Arial" w:hAnsi="Arial" w:cs="Arial"/>
        </w:rPr>
        <w:t>Enderlin Golf Course had submitted a beer and liquor license, along with the appropriate fee. Gilbert moved, seconded by Bunn, to approve the beer and liquor license. All aye. Motion carried.</w:t>
      </w:r>
      <w:r w:rsidR="009D472B">
        <w:rPr>
          <w:rFonts w:ascii="Arial" w:hAnsi="Arial" w:cs="Arial"/>
        </w:rPr>
        <w:t xml:space="preserve"> </w:t>
      </w:r>
    </w:p>
    <w:p w:rsidR="009B02CF" w:rsidRDefault="009B02CF">
      <w:pPr>
        <w:rPr>
          <w:rFonts w:ascii="Arial" w:hAnsi="Arial" w:cs="Arial"/>
        </w:rPr>
      </w:pPr>
      <w:r>
        <w:rPr>
          <w:rFonts w:ascii="Arial" w:hAnsi="Arial" w:cs="Arial"/>
        </w:rPr>
        <w:t>Kirsten Gilbert, emergency manager appeared before to discuss issues with the badge machine she has. Since getting a new computer it is not compatible without new software. She is looking at a software other counties in the area are using called Salamander. It is a little more expensive, and has a yearly subscription. Gilbert recommends the county go with Salamander it has a lot of features the county could use, and be used with other counties. Hansen moved, seconded by Dick, to approve going with the Salamander software. All aye. Motion carried. Olerud signed the purchase contract.</w:t>
      </w:r>
    </w:p>
    <w:p w:rsidR="004B0882" w:rsidRDefault="009B02CF">
      <w:pPr>
        <w:rPr>
          <w:rFonts w:ascii="Arial" w:hAnsi="Arial" w:cs="Arial"/>
        </w:rPr>
      </w:pPr>
      <w:r>
        <w:rPr>
          <w:rFonts w:ascii="Arial" w:hAnsi="Arial" w:cs="Arial"/>
        </w:rPr>
        <w:t>Nicole Gentzkow, auditor presented the contract for deed between Ransom County and Ryan Gree</w:t>
      </w:r>
      <w:r w:rsidR="008B633A">
        <w:rPr>
          <w:rFonts w:ascii="Arial" w:hAnsi="Arial" w:cs="Arial"/>
        </w:rPr>
        <w:t>n. Bunn moved, seconded by Dick, to have Olerud sign the contract for deed. All aye. Motion carried.</w:t>
      </w:r>
      <w:r>
        <w:rPr>
          <w:rFonts w:ascii="Arial" w:hAnsi="Arial" w:cs="Arial"/>
        </w:rPr>
        <w:t xml:space="preserve"> </w:t>
      </w:r>
    </w:p>
    <w:p w:rsidR="008B633A" w:rsidRDefault="008B633A">
      <w:pPr>
        <w:rPr>
          <w:rFonts w:ascii="Arial" w:hAnsi="Arial" w:cs="Arial"/>
        </w:rPr>
      </w:pPr>
      <w:r>
        <w:rPr>
          <w:rFonts w:ascii="Arial" w:hAnsi="Arial" w:cs="Arial"/>
        </w:rPr>
        <w:t xml:space="preserve">Garrison Diversion had sent a letter informing the county the Garrison Diversion matching recreation grant program deadline for applications is April 1, 2020. The board discussed, and asked Gentzkow to forward the letter on to the water board, and park boards in the county. </w:t>
      </w:r>
    </w:p>
    <w:p w:rsidR="008B633A" w:rsidRDefault="008B633A">
      <w:pPr>
        <w:rPr>
          <w:rFonts w:ascii="Arial" w:hAnsi="Arial" w:cs="Arial"/>
        </w:rPr>
      </w:pPr>
      <w:r>
        <w:rPr>
          <w:rFonts w:ascii="Arial" w:hAnsi="Arial" w:cs="Arial"/>
        </w:rPr>
        <w:t>The human resource manager contract between Ransom and Sargent County was discussed. Bunn moved, seconded by Hansen, to sign the contract for a shared human resource manager. All aye. Motion carried. Sargent County would send the job description provided by Richland county to the individual who does the pay study for Sargent County to come up with a wage.</w:t>
      </w:r>
    </w:p>
    <w:p w:rsidR="008B633A" w:rsidRDefault="008B633A">
      <w:pPr>
        <w:rPr>
          <w:rFonts w:ascii="Arial" w:hAnsi="Arial" w:cs="Arial"/>
        </w:rPr>
      </w:pPr>
      <w:r>
        <w:rPr>
          <w:rFonts w:ascii="Arial" w:hAnsi="Arial" w:cs="Arial"/>
        </w:rPr>
        <w:t xml:space="preserve">Scott Smyth with KLJ appeared before the board to discuss the bridge inspection letter the county had received from the DOT. The three bridges stated on the letter, are the same ones as in the past. KLJ will get them inspected, and report back to the state. </w:t>
      </w:r>
      <w:r w:rsidR="00B545BB">
        <w:rPr>
          <w:rFonts w:ascii="Arial" w:hAnsi="Arial" w:cs="Arial"/>
        </w:rPr>
        <w:t>Smyth did some research on the Devil’s Lake mitigation, it cannot be combined with other state water commission funds. Smyth informed the board he had just returned from the North Dakota County Engineers Conference and had learned the GRITS program has some pretty cool stuff.</w:t>
      </w:r>
      <w:r w:rsidR="00CE61E0">
        <w:rPr>
          <w:rFonts w:ascii="Arial" w:hAnsi="Arial" w:cs="Arial"/>
        </w:rPr>
        <w:t xml:space="preserve"> He has all the county’s info updated in the GRITS program to this date.</w:t>
      </w:r>
      <w:r w:rsidR="00B545BB">
        <w:rPr>
          <w:rFonts w:ascii="Arial" w:hAnsi="Arial" w:cs="Arial"/>
        </w:rPr>
        <w:t xml:space="preserve"> Jeff “Ivan” Hopkins asked the board if they had ever thought about using load pass. Some discussion followed. The board decided to invite Sheriff Darren Benneweis to the next commission meeting to discuss load pass. </w:t>
      </w:r>
      <w:r w:rsidR="00CE61E0">
        <w:rPr>
          <w:rFonts w:ascii="Arial" w:hAnsi="Arial" w:cs="Arial"/>
        </w:rPr>
        <w:t xml:space="preserve">Smyth also informed the board that the Prairie Dog fund is filling up four percent faster than anticipated, money is projected to be disbursed fall 2020 or spring 2021. He asked the board to start thinking of some projects they would like to use the money on. However, the county cannot get reimbursed for money spent before it is disbursed. The money can be used on any infrastructure projects. Dick asked if anyone had any information on when the railroad crossing arm would be installed in </w:t>
      </w:r>
      <w:proofErr w:type="spellStart"/>
      <w:r w:rsidR="00CE61E0">
        <w:rPr>
          <w:rFonts w:ascii="Arial" w:hAnsi="Arial" w:cs="Arial"/>
        </w:rPr>
        <w:t>Englevale.No</w:t>
      </w:r>
      <w:proofErr w:type="spellEnd"/>
      <w:r w:rsidR="00CE61E0">
        <w:rPr>
          <w:rFonts w:ascii="Arial" w:hAnsi="Arial" w:cs="Arial"/>
        </w:rPr>
        <w:t xml:space="preserve"> one knew for sure, Smyth was going to see if he had a contact for Red River Valley Railroad. Smyth also let the board know he talked to the Corp of Engineers and they would do the study and the project on the </w:t>
      </w:r>
      <w:proofErr w:type="spellStart"/>
      <w:r w:rsidR="00CE61E0">
        <w:rPr>
          <w:rFonts w:ascii="Arial" w:hAnsi="Arial" w:cs="Arial"/>
        </w:rPr>
        <w:t>Anslem</w:t>
      </w:r>
      <w:proofErr w:type="spellEnd"/>
      <w:r w:rsidR="00CE61E0">
        <w:rPr>
          <w:rFonts w:ascii="Arial" w:hAnsi="Arial" w:cs="Arial"/>
        </w:rPr>
        <w:t xml:space="preserve"> Bridge. Smyth recommended waiting until the Corp was done with the study before submitting an application to the State Water Commission for funding. </w:t>
      </w:r>
    </w:p>
    <w:p w:rsidR="00CE61E0" w:rsidRDefault="00CE61E0">
      <w:pPr>
        <w:rPr>
          <w:rFonts w:ascii="Arial" w:hAnsi="Arial" w:cs="Arial"/>
        </w:rPr>
      </w:pPr>
      <w:r>
        <w:rPr>
          <w:rFonts w:ascii="Arial" w:hAnsi="Arial" w:cs="Arial"/>
        </w:rPr>
        <w:t xml:space="preserve">Jeff “Ivan” Hopkins appeared before the board to discuss trading the Bobcat in. In the past we were on a program with </w:t>
      </w:r>
      <w:proofErr w:type="spellStart"/>
      <w:r>
        <w:rPr>
          <w:rFonts w:ascii="Arial" w:hAnsi="Arial" w:cs="Arial"/>
        </w:rPr>
        <w:t>Berube’s</w:t>
      </w:r>
      <w:proofErr w:type="spellEnd"/>
      <w:r>
        <w:rPr>
          <w:rFonts w:ascii="Arial" w:hAnsi="Arial" w:cs="Arial"/>
        </w:rPr>
        <w:t xml:space="preserve"> where we could trade yearly for $2000. </w:t>
      </w:r>
      <w:r w:rsidR="0016668A">
        <w:rPr>
          <w:rFonts w:ascii="Arial" w:hAnsi="Arial" w:cs="Arial"/>
        </w:rPr>
        <w:t xml:space="preserve">Bobcat in </w:t>
      </w:r>
      <w:proofErr w:type="spellStart"/>
      <w:r w:rsidR="0016668A">
        <w:rPr>
          <w:rFonts w:ascii="Arial" w:hAnsi="Arial" w:cs="Arial"/>
        </w:rPr>
        <w:t>Gwinner</w:t>
      </w:r>
      <w:proofErr w:type="spellEnd"/>
      <w:r w:rsidR="0016668A">
        <w:rPr>
          <w:rFonts w:ascii="Arial" w:hAnsi="Arial" w:cs="Arial"/>
        </w:rPr>
        <w:t xml:space="preserve"> is doing a similar program. However, the bobcat we currently own is no longer being made. So in 2020 to trade for a model a step up it will cost $5</w:t>
      </w:r>
      <w:r w:rsidR="00DA7147">
        <w:rPr>
          <w:rFonts w:ascii="Arial" w:hAnsi="Arial" w:cs="Arial"/>
        </w:rPr>
        <w:t>,</w:t>
      </w:r>
      <w:r w:rsidR="0016668A">
        <w:rPr>
          <w:rFonts w:ascii="Arial" w:hAnsi="Arial" w:cs="Arial"/>
        </w:rPr>
        <w:t xml:space="preserve">500. Going forward it will be more than $2000 to trade yearly, however if we trade model for model it won’t cost as much. Hopkins </w:t>
      </w:r>
      <w:r w:rsidR="009565BA">
        <w:rPr>
          <w:rFonts w:ascii="Arial" w:hAnsi="Arial" w:cs="Arial"/>
        </w:rPr>
        <w:t>prefers</w:t>
      </w:r>
      <w:r w:rsidR="0016668A">
        <w:rPr>
          <w:rFonts w:ascii="Arial" w:hAnsi="Arial" w:cs="Arial"/>
        </w:rPr>
        <w:t xml:space="preserve"> trading every year, because we don’t have to do any maintenance on the bobcat.</w:t>
      </w:r>
    </w:p>
    <w:p w:rsidR="0016668A" w:rsidRDefault="0016668A">
      <w:pPr>
        <w:rPr>
          <w:rFonts w:ascii="Arial" w:hAnsi="Arial" w:cs="Arial"/>
        </w:rPr>
      </w:pPr>
      <w:r>
        <w:rPr>
          <w:rFonts w:ascii="Arial" w:hAnsi="Arial" w:cs="Arial"/>
        </w:rPr>
        <w:t xml:space="preserve">The meeting was </w:t>
      </w:r>
      <w:r w:rsidR="009565BA">
        <w:rPr>
          <w:rFonts w:ascii="Arial" w:hAnsi="Arial" w:cs="Arial"/>
        </w:rPr>
        <w:t>recessed</w:t>
      </w:r>
      <w:r>
        <w:rPr>
          <w:rFonts w:ascii="Arial" w:hAnsi="Arial" w:cs="Arial"/>
        </w:rPr>
        <w:t xml:space="preserve"> to go into executive session at 11:17 a.m. Discussion was had, and decisions were made in executive session.</w:t>
      </w:r>
    </w:p>
    <w:p w:rsidR="0016668A" w:rsidRDefault="0016668A">
      <w:pPr>
        <w:rPr>
          <w:rFonts w:ascii="Arial" w:hAnsi="Arial" w:cs="Arial"/>
        </w:rPr>
      </w:pPr>
      <w:r>
        <w:rPr>
          <w:rFonts w:ascii="Arial" w:hAnsi="Arial" w:cs="Arial"/>
        </w:rPr>
        <w:t>The regular open meeting resumed at 12:50 p.m.</w:t>
      </w:r>
    </w:p>
    <w:p w:rsidR="0016668A" w:rsidRDefault="0016668A">
      <w:pPr>
        <w:rPr>
          <w:rFonts w:ascii="Arial" w:hAnsi="Arial" w:cs="Arial"/>
        </w:rPr>
      </w:pPr>
      <w:r>
        <w:rPr>
          <w:rFonts w:ascii="Arial" w:hAnsi="Arial" w:cs="Arial"/>
        </w:rPr>
        <w:t>Home rule charter was discussed.</w:t>
      </w:r>
    </w:p>
    <w:p w:rsidR="0016668A" w:rsidRDefault="0016668A">
      <w:pPr>
        <w:rPr>
          <w:rFonts w:ascii="Arial" w:hAnsi="Arial" w:cs="Arial"/>
        </w:rPr>
      </w:pPr>
      <w:r>
        <w:rPr>
          <w:rFonts w:ascii="Arial" w:hAnsi="Arial" w:cs="Arial"/>
        </w:rPr>
        <w:t xml:space="preserve">Nicole Gentzkow asked the board to lower mileage back to ¢57.5 per mile. If the county pays above the state mileage rate, 1099 must be given for the </w:t>
      </w:r>
      <w:r w:rsidR="00F26F99">
        <w:rPr>
          <w:rFonts w:ascii="Arial" w:hAnsi="Arial" w:cs="Arial"/>
        </w:rPr>
        <w:t>¢.05 extra paid out. Hansen moved, seconded by Gilbert to lower mileage to ¢57.5. All aye. Motion carried.</w:t>
      </w:r>
    </w:p>
    <w:p w:rsidR="00F26F99" w:rsidRDefault="00F26F99">
      <w:pPr>
        <w:rPr>
          <w:rFonts w:ascii="Arial" w:hAnsi="Arial" w:cs="Arial"/>
        </w:rPr>
      </w:pPr>
    </w:p>
    <w:p w:rsidR="00BA362F" w:rsidRDefault="00BA362F" w:rsidP="00BA362F">
      <w:pPr>
        <w:spacing w:after="0"/>
        <w:rPr>
          <w:rFonts w:ascii="Arial" w:hAnsi="Arial" w:cs="Arial"/>
        </w:rPr>
      </w:pPr>
      <w:r>
        <w:rPr>
          <w:rFonts w:ascii="Arial" w:hAnsi="Arial" w:cs="Arial"/>
        </w:rPr>
        <w:lastRenderedPageBreak/>
        <w:t>There being no further business to come before the board, the meeting was adjourned at 1:04 p.m.</w:t>
      </w:r>
    </w:p>
    <w:p w:rsidR="00BA362F" w:rsidRDefault="00BA362F" w:rsidP="00BA362F">
      <w:pPr>
        <w:rPr>
          <w:rFonts w:ascii="Arial" w:hAnsi="Arial" w:cs="Arial"/>
        </w:rPr>
      </w:pPr>
      <w:r>
        <w:rPr>
          <w:rFonts w:ascii="Arial" w:hAnsi="Arial" w:cs="Arial"/>
        </w:rPr>
        <w:t>________________________________                  ________________________________</w:t>
      </w:r>
    </w:p>
    <w:p w:rsidR="00BA362F" w:rsidRDefault="00BA362F" w:rsidP="00BA362F">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Neil Olerud</w:t>
      </w:r>
    </w:p>
    <w:p w:rsidR="00BA362F" w:rsidRDefault="00BA362F" w:rsidP="00BA362F">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rsidR="00BA362F" w:rsidRDefault="00BA362F" w:rsidP="00BA362F">
      <w:pPr>
        <w:spacing w:after="0"/>
        <w:rPr>
          <w:rFonts w:ascii="Arial" w:hAnsi="Arial" w:cs="Arial"/>
        </w:rPr>
      </w:pPr>
    </w:p>
    <w:p w:rsidR="00F26F99" w:rsidRPr="007A3634" w:rsidRDefault="00F26F99">
      <w:pPr>
        <w:rPr>
          <w:rFonts w:ascii="Arial" w:hAnsi="Arial" w:cs="Arial"/>
        </w:rPr>
      </w:pPr>
    </w:p>
    <w:sectPr w:rsidR="00F26F99" w:rsidRPr="007A3634" w:rsidSect="00D428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34"/>
    <w:rsid w:val="0016668A"/>
    <w:rsid w:val="004A2296"/>
    <w:rsid w:val="004B0882"/>
    <w:rsid w:val="005E3057"/>
    <w:rsid w:val="007A3634"/>
    <w:rsid w:val="00892E60"/>
    <w:rsid w:val="008B633A"/>
    <w:rsid w:val="009565BA"/>
    <w:rsid w:val="00991183"/>
    <w:rsid w:val="009B02CF"/>
    <w:rsid w:val="009B2D36"/>
    <w:rsid w:val="009B757B"/>
    <w:rsid w:val="009D472B"/>
    <w:rsid w:val="00A40274"/>
    <w:rsid w:val="00B545BB"/>
    <w:rsid w:val="00B60FCF"/>
    <w:rsid w:val="00BA362F"/>
    <w:rsid w:val="00CE61E0"/>
    <w:rsid w:val="00CE7E7C"/>
    <w:rsid w:val="00D428C9"/>
    <w:rsid w:val="00DA7147"/>
    <w:rsid w:val="00F2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2E39A-76EF-460A-A446-068CF173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0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1587</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5</cp:revision>
  <cp:lastPrinted>2020-11-05T20:07:00Z</cp:lastPrinted>
  <dcterms:created xsi:type="dcterms:W3CDTF">2020-02-13T17:17:00Z</dcterms:created>
  <dcterms:modified xsi:type="dcterms:W3CDTF">2020-11-05T20:07:00Z</dcterms:modified>
</cp:coreProperties>
</file>